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105"/>
        <w:gridCol w:w="1864"/>
        <w:gridCol w:w="1365"/>
        <w:gridCol w:w="105"/>
        <w:gridCol w:w="551"/>
        <w:gridCol w:w="630"/>
        <w:gridCol w:w="788"/>
        <w:gridCol w:w="788"/>
        <w:gridCol w:w="788"/>
        <w:gridCol w:w="788"/>
        <w:gridCol w:w="788"/>
        <w:gridCol w:w="788"/>
        <w:gridCol w:w="788"/>
        <w:gridCol w:w="788"/>
        <w:gridCol w:w="1575"/>
        <w:gridCol w:w="788"/>
        <w:gridCol w:w="788"/>
        <w:gridCol w:w="1575"/>
        <w:gridCol w:w="0"/>
      </w:tblGrid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14"/>
            <w:tcW w:w="12394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ОТЧЕТ</w:t>
              <w:br/>
              <w:t>
ОБ ИСПОЛНЕНИИ УЧРЕЖДЕНИЕМ ПЛАНА ЕГО ФИНАНСОВО-ХОЗЯЙСТВЕННОЙ ДЕЯТЕЛЬНОСТИ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КОДЫ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vMerge w:val="continue"/>
            <w:gridSpan w:val="14"/>
            <w:tcW w:w="12394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ОТЧЕТ</w:t>
              <w:br/>
              <w:t>
ОБ ИСПОЛНЕНИИ УЧРЕЖДЕНИЕМ ПЛАНА ЕГО ФИНАНСОВО-ХОЗЯЙСТВЕННОЙ ДЕЯТЕЛЬНОСТИ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Форма по ОКУД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0503737</w:t>
            </w:r>
          </w:p>
        </w:tc>
      </w:tr>
      <w:tr>
        <w:tc>
          <w:tcPr>
            <w:gridSpan w:val="7"/>
            <w:tcW w:w="540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4"/>
            </w:pPr>
            <w:r>
              <w:t>на</w:t>
            </w:r>
          </w:p>
        </w:tc>
        <w:tc>
          <w:tcPr>
            <w:gridSpan w:val="3"/>
            <w:tcW w:w="2364" w:type="dxa"/>
            <w:vAlign w:val="bottom"/>
            <w:shd w:val="clear" w:color="FFFFFF" w:fill="#d5eeff"/>
            <w:pPr>
              <w:jc w:val="left"/>
            </w:pPr>
          </w:tcPr>
          <w:p>
            <w:r>
              <w:t>«01» января 2015 г.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Дата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01.01.2015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6"/>
            </w:pPr>
            <w:r>
              <w:t>Учреждение</w:t>
            </w:r>
          </w:p>
        </w:tc>
        <w:tc>
          <w:tcPr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ГБОУ СПО МКЖТ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по ОКПО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8"/>
            </w:pPr>
            <w:r>
              <w:t>02501545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Обособленное подразделение</w:t>
            </w:r>
          </w:p>
        </w:tc>
        <w:tc>
          <w:tcPr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2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Учредитель</w:t>
            </w:r>
          </w:p>
        </w:tc>
        <w:tc>
          <w:tcPr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по ОКАТО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8"/>
            </w:pPr>
            <w:r>
              <w:t>07400000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>Наименование органа, осуществля-</w:t>
            </w:r>
          </w:p>
        </w:tc>
        <w:tc>
          <w:tcPr>
            <w:vMerge w:val="restart"/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по ОКПО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6"/>
            </w:pPr>
            <w:r>
              <w:t>00087700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>ющего полномочия учредителя</w:t>
            </w:r>
          </w:p>
        </w:tc>
        <w:tc>
          <w:tcPr>
            <w:vMerge w:val="continue"/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11"/>
            </w:pPr>
            <w:r>
              <w:t>Глава по БК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6"/>
            </w:pPr>
            <w:r>
              <w:t>075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>Вид финансового обеспечения (деятельности)</w:t>
            </w:r>
          </w:p>
        </w:tc>
        <w:tc>
          <w:tcPr>
            <w:gridSpan w:val="10"/>
            <w:tcW w:w="8509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r>
              <w:t>Приносящая доход деятельность (собственные доходы учреждения)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7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Периодичность: квартальная, годовая</w:t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9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Единица измерения:</w:t>
            </w:r>
          </w:p>
        </w:tc>
        <w:tc>
          <w:tcPr>
            <w:tcW w:w="1365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20"/>
            </w:pPr>
            <w:r>
              <w:t>руб.</w:t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pPr>
              <w:jc w:val="right"/>
            </w:pPr>
          </w:tcPr>
          <w:p>
            <w:pPr>
              <w:pStyle w:val="1CStyle2"/>
            </w:pPr>
            <w:r>
              <w:t>по ОКЕИ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3"/>
            </w:pPr>
            <w:r>
              <w:t>383</w:t>
            </w:r>
          </w:p>
        </w:tc>
      </w:tr>
      <w:tr>
        <w:trPr>
          <w:trHeight w:val="120" w:hRule="exact"/>
        </w:trPr>
        <w:tc>
          <w:tcPr>
            <w:gridSpan w:val="4"/>
            <w:tcW w:w="34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gridSpan w:val="17"/>
            <w:tcW w:w="1554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25"/>
            </w:pPr>
            <w:r>
              <w:t>1. Доходы учреждения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52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 Наименование показателя</w:t>
            </w:r>
          </w:p>
        </w:tc>
        <w:tc>
          <w:tcPr>
            <w:vMerge w:val="restart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restart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Утверждено плановых  назначений</w:t>
            </w:r>
          </w:p>
        </w:tc>
        <w:tc>
          <w:tcPr>
            <w:gridSpan w:val="9"/>
            <w:tcW w:w="787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0"/>
            </w:pPr>
            <w:r>
              <w:t>Исполнено плановых назначений</w:t>
            </w:r>
          </w:p>
        </w:tc>
        <w:tc>
          <w:tcPr>
            <w:vMerge w:val="restart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1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7"/>
            </w:pPr>
            <w:r>
              <w:t> Наименование показателя</w:t>
            </w:r>
          </w:p>
        </w:tc>
        <w:tc>
          <w:tcPr>
            <w:vMerge w:val="continue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continue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Утверждено плановых  назначений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через лицевые счета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через банковские счета 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через кассу учреждения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2"/>
            </w:pPr>
            <w:r>
              <w:t>некассовыми операциями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итого</w:t>
            </w:r>
          </w:p>
        </w:tc>
        <w:tc>
          <w:tcPr>
            <w:vMerge w:val="continue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1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33"/>
            </w:pPr>
            <w:r>
              <w:t>1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3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4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5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6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7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7"/>
            </w:pPr>
            <w:r>
              <w:t>8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>9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8"/>
            </w:pPr>
            <w:r>
              <w:t>10</w:t>
            </w:r>
          </w:p>
        </w:tc>
      </w:tr>
      <w:tr>
        <w:tc>
          <w:tcPr>
            <w:tcW w:w="105" w:type="dxa"/>
            <w:vAlign w:val="top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Доходы — всего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010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>13 064 041,49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>11 993 091,66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>623 706,00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>12 616 797,66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>447 243,83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Доходы от собственности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030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от аренды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031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120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Доходы от оказания платных услуг (работ)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040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130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11 860 701,63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10 789 751,80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623 706,00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11 413 457,80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447 243,83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Доходы от штрафов, пеней, иных сумм принудительного изъятия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050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140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Безвозмездные поступления от бюджетов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060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150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поступления от наднациональных организаций и правительств  иностранных государств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062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152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поступления от международных финансовых организаций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063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153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Доходы от операций с активами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от выбытий основных средств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092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410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нематериальных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420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непроизведенных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094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430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материальных запасов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095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440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ценных бумаг, кроме акций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096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620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акций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097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630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от выбытий иных финансовых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098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650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Прочие доходы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100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180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1 203 339,86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1 203 339,86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1 203 339,86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субсидии на выполнение государственного (муниципального) задания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101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180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субсидии на иные цели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102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180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бюджетные инвестиции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103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180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иные доходы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104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>180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1 203 339,86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1 203 339,86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7"/>
            </w:pPr>
            <w:r>
              <w:t>1 203 339,86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74"/>
            </w:pPr>
            <w:r>
              <w:t/>
            </w:r>
          </w:p>
        </w:tc>
        <w:tc>
          <w:tcPr>
            <w:gridSpan w:val="17"/>
            <w:tcW w:w="1554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75"/>
            </w:pPr>
            <w:r>
              <w:t>2. Расходы учреждения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6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restart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restart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9"/>
            <w:tcW w:w="787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vMerge w:val="restart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continue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continue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лицевые счета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через банковские счета 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некассовыми операциями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итого</w:t>
            </w:r>
          </w:p>
        </w:tc>
        <w:tc>
          <w:tcPr>
            <w:vMerge w:val="continue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1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3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4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5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6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7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6"/>
            </w:pPr>
            <w:r>
              <w:t>8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9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>10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88"/>
            </w:pPr>
            <w:r>
              <w:t>Расходы — всего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200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1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89"/>
            </w:pPr>
            <w:r>
              <w:t>16 079 955,48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15 603 731,45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8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-8 788,90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15 594 942,55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0"/>
            </w:pPr>
            <w:r>
              <w:t>485 012,93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1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Оплата труда и начисления на выплаты по оплате труда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160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210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7 845 243,15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7 851 592,05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-6 348,90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7 845 243,15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заработная плата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161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211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5 961 029,85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5 967 378,75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-6 348,90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5 961 029,85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прочие выплаты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162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212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38 420,85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38 420,85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38 420,85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начисления на выплаты по оплате труда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163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213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1 845 792,45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1 845 792,45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1 845 792,45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Приобретение работ, услуг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170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220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3 588 604,00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3 177 692,07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-400,00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3 177 292,07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411 311,93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услуги связи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171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221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178 254,08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178 254,08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178 254,08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транспортные услуги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172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222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5 129,66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5 529,66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-400,00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5 129,66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коммунальные услуги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173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223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1 241 956,90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830 644,97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830 644,97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411 311,93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арендная плата за пользование имуществом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174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224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12 100,00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12 100,00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12 100,00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работы, услуги по содержанию имущества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175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225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664 287,58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664 287,58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664 287,58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прочие работы, услуги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176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226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1 486 875,78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1 486 875,78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1 486 875,78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Обслуживание долговых обязательств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190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230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обслуживание долговых обязательств перед резидентами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191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231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обслуживание долговых обязательств перед нерезидентами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192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232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Безвозмездные перечисления организациям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210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240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211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241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212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>242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7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9"/>
            </w:pPr>
            <w:r>
              <w:t/>
            </w:r>
          </w:p>
        </w:tc>
        <w:tc>
          <w:tcPr>
            <w:gridSpan w:val="5"/>
            <w:tcW w:w="3782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0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0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restart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restart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9"/>
            <w:tcW w:w="787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vMerge w:val="restart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continue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continue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лицевые счета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через банковские счета 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некассовыми операциями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итого</w:t>
            </w:r>
          </w:p>
        </w:tc>
        <w:tc>
          <w:tcPr>
            <w:vMerge w:val="continue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1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3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4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5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6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7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6"/>
            </w:pPr>
            <w:r>
              <w:t>8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9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>10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Безвозмездные перечисления бюджетам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230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>250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4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4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06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232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252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перечисления международным организациям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233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253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Социальное обеспечение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240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260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пособия по социальной помощи населению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242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262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243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263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5"/>
            </w:pPr>
            <w:r>
              <w:t>Прочие расходы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250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290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51 138,70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51 138,70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51 138,70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Расходы по приобретению нефинансовых активов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260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300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4 594 969,63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4 523 308,63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-2 040,00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4 521 268,63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73 701,00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основных средств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261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310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3 047 420,00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3 047 420,00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3 047 420,00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нематериальных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262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320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непроизведенных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263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330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материальных запасов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264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340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1 547 549,63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1 475 888,63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-2 040,00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1 473 848,63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73 701,00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Расходы по приобретению финансовых активов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270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500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ценных бумаг, кроме акций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271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520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акций и иных форм участия в капитале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272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530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иных финансовых активов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273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>550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7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</w:tr>
      <w:tr>
        <w:trPr>
          <w:trHeight w:val="135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7"/>
            </w:pPr>
            <w:r>
              <w:t/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>Результат исполнения  (дефицит / профицит)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10"/>
            </w:pPr>
            <w:r>
              <w:t>450</w:t>
            </w:r>
          </w:p>
        </w:tc>
        <w:tc>
          <w:tcPr>
            <w:tcW w:w="630" w:type="dxa"/>
            <w:vAlign w:val="center"/>
            <w:shd w:val="clear" w:color="FFFFFF" w:fill="auto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11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2"/>
            </w:pPr>
            <w:r>
              <w:t>-3 015 913,99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3"/>
            </w:pPr>
            <w:r>
              <w:t>-3 610 639,79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2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3"/>
            </w:pPr>
            <w:r>
              <w:t>632 494,90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3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3"/>
            </w:pPr>
            <w:r>
              <w:t>-2 978 144,89</w:t>
            </w:r>
          </w:p>
        </w:tc>
        <w:tc>
          <w:tcPr>
            <w:tcW w:w="1575" w:type="dxa"/>
            <w:vAlign w:val="center"/>
            <w:shd w:val="clear" w:color="FFFFFF" w:fill="#ffffff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14"/>
            </w:pPr>
            <w:r>
              <w:t>х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5"/>
            </w:pPr>
            <w:r>
              <w:t/>
            </w:r>
          </w:p>
        </w:tc>
        <w:tc>
          <w:tcPr>
            <w:gridSpan w:val="17"/>
            <w:tcW w:w="15545" w:type="dxa"/>
            <w:vAlign w:val="center"/>
            <w:shd w:val="clear" w:color="FFFFFF" w:fill="auto"/>
            <w:pPr>
              <w:jc w:val="center"/>
            </w:pPr>
          </w:tcPr>
          <w:p>
            <w:pPr>
              <w:pStyle w:val="1CStyle75"/>
            </w:pPr>
            <w:r>
              <w:t>3. Источники финансирования дефицита средств учреждения</w:t>
            </w:r>
          </w:p>
        </w:tc>
      </w:tr>
      <w:tr>
        <w:trPr>
          <w:trHeight w:val="105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6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restart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restart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9"/>
            <w:tcW w:w="787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vMerge w:val="restart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continue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continue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лицевые счета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через банковские счета 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некассовыми операциями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итого</w:t>
            </w:r>
          </w:p>
        </w:tc>
        <w:tc>
          <w:tcPr>
            <w:vMerge w:val="continue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1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3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4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5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6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7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6"/>
            </w:pPr>
            <w:r>
              <w:t>8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9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>10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88"/>
            </w:pPr>
            <w:r>
              <w:t>Источники финансирования дефицита средств — всего (стр. 520 + стр. 620 + стр. 700 + стр. 730 + стр. 820 + стр. 830)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0"/>
            </w:pPr>
            <w:r>
              <w:t>500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17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89"/>
            </w:pPr>
            <w:r>
              <w:t>3 015 913,99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3 610 639,79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8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-632 494,90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3"/>
            </w:pPr>
            <w:r>
              <w:t>2 978 144,89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0"/>
            </w:pPr>
            <w:r>
              <w:t>37 769,10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1"/>
            </w:pPr>
            <w:r>
              <w:t> 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Внутренние источники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520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18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курсовая разница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521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171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поступления от погашения займов (ссуд)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525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640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выплаты по предоставлению займов (ссуд)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526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540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поступления заимствований от резидентов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527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710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погашение заимствований от резидентов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528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810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Внешние источники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620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18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из них: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курсовая разница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621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171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поступления заимствований от резидентов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625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720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погашение заимствований от нерезидентов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626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820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Изменение остатков средств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700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9"/>
            </w:pPr>
            <w:r>
              <w:t>3 015 913,99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2 978 144,89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2 978 144,89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37 769,10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увеличение остатков средств, всего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710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510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21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-12 616 797,66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-632 494,90</w:t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-13 249 292,56</w:t>
            </w:r>
          </w:p>
        </w:tc>
        <w:tc>
          <w:tcPr>
            <w:tcW w:w="1575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22"/>
            </w:pPr>
            <w:r>
              <w:t>х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уменьшение остатков средств, всего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720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610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21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15 594 942,55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632 494,90</w:t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16 227 437,45</w:t>
            </w:r>
          </w:p>
        </w:tc>
        <w:tc>
          <w:tcPr>
            <w:tcW w:w="1575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22"/>
            </w:pPr>
            <w:r>
              <w:t>х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Изменение остатков по внутренним оборотам средств учреждения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730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1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632 494,90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3"/>
            </w:pPr>
            <w:r>
              <w:t>-632 494,90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2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top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top w:val="singl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увеличение остатков средств учреждения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731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>510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4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5"/>
            </w:pPr>
            <w:r>
              <w:t>632 494,90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7"/>
            </w:pPr>
            <w:r>
              <w:t>632 494,90</w:t>
            </w:r>
          </w:p>
        </w:tc>
        <w:tc>
          <w:tcPr>
            <w:tcW w:w="1575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22"/>
            </w:pPr>
            <w:r>
              <w:t>х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уменьшение остатков средств учреждения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732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>610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0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1"/>
            </w:pPr>
            <w:r>
              <w:t>-632 494,90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2"/>
            </w:pPr>
            <w:r>
              <w:t>-632 494,90</w:t>
            </w:r>
          </w:p>
        </w:tc>
        <w:tc>
          <w:tcPr>
            <w:tcW w:w="1575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22"/>
            </w:pPr>
            <w:r>
              <w:t>х</w:t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0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rPr>
          <w:trHeight w:val="120" w:hRule="exact"/>
        </w:trP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9"/>
            </w:pPr>
            <w:r>
              <w:t/>
            </w:r>
          </w:p>
        </w:tc>
        <w:tc>
          <w:tcPr>
            <w:gridSpan w:val="5"/>
            <w:tcW w:w="3782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1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0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0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7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0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restart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restart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restart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9"/>
            <w:tcW w:w="787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Исполнено плановых назначений</w:t>
            </w:r>
          </w:p>
        </w:tc>
        <w:tc>
          <w:tcPr>
            <w:vMerge w:val="restart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3334" w:type="dxa"/>
            <w:vAlign w:val="center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7"/>
            </w:pPr>
            <w:r>
              <w:t> Наименование показателя</w:t>
            </w:r>
          </w:p>
        </w:tc>
        <w:tc>
          <w:tcPr>
            <w:vMerge w:val="continue"/>
            <w:tcW w:w="551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стро-</w:t>
              <w:br/>
              <w:t>
ки</w:t>
            </w:r>
          </w:p>
        </w:tc>
        <w:tc>
          <w:tcPr>
            <w:vMerge w:val="continue"/>
            <w:tcW w:w="63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28"/>
            </w:pPr>
            <w:r>
              <w:t>Код</w:t>
              <w:br/>
              <w:t>
анали-</w:t>
              <w:br/>
              <w:t>
тики</w:t>
            </w:r>
          </w:p>
        </w:tc>
        <w:tc>
          <w:tcPr>
            <w:vMerge w:val="continue"/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Утверждено плановых  назначений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лицевые счета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8"/>
            </w:pPr>
            <w:r>
              <w:t>через банковские счета 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через кассу учреждения</w:t>
            </w:r>
          </w:p>
        </w:tc>
        <w:tc>
          <w:tcPr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2"/>
            </w:pPr>
            <w:r>
              <w:t>некассовыми операциями</w:t>
            </w:r>
          </w:p>
        </w:tc>
        <w:tc>
          <w:tcPr>
            <w:gridSpan w:val="2"/>
            <w:tcW w:w="1576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итого</w:t>
            </w:r>
          </w:p>
        </w:tc>
        <w:tc>
          <w:tcPr>
            <w:vMerge w:val="continue"/>
            <w:tcW w:w="157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0"/>
            </w:pPr>
            <w:r>
              <w:t>Не исполнено плановых назначений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3"/>
            </w:pPr>
            <w:r>
              <w:t>1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4"/>
            </w:pPr>
            <w:r>
              <w:t>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35"/>
            </w:pPr>
            <w:r>
              <w:t>3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4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5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6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7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6"/>
            </w:pPr>
            <w:r>
              <w:t>8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5"/>
            </w:pPr>
            <w:r>
              <w:t>9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>10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Изменение остатков по внутренним расчетам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820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4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4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ff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3"/>
            </w:pPr>
            <w:r>
              <w:t/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3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06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34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5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увеличение остатков по внутренним расчетам (Кт 0 304 04 510)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821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6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7"/>
            </w:pPr>
            <w:r>
              <w:t/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7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уменьшение остатков по внутренним расчетам (Дт 0 304 04 610)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822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8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tcW w:w="1575" w:type="dxa"/>
            <w:vAlign w:val="top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20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51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Изменение остатков расчетов по внутренним привлечениям средств 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3"/>
            </w:pPr>
            <w:r>
              <w:t>830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94"/>
            </w:pPr>
            <w:r>
              <w:t>х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3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9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7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34"/>
            </w:pPr>
            <w:r>
              <w:t>в том числе: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5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right w:val="sing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54"/>
            </w:pPr>
            <w:r>
              <w:t>увеличение расчетов по внутреннему привлечению остатков средств (Кт 0 304 06 000)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>831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6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7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8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9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62"/>
            </w:pPr>
            <w:r>
              <w:t>уменьшение расчетов по внутреннему привлечению остатков средств (Дт 0 304 06 000)</w:t>
            </w:r>
          </w:p>
        </w:tc>
        <w:tc>
          <w:tcPr>
            <w:tcW w:w="551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3"/>
            </w:pPr>
            <w:r>
              <w:t>832</w:t>
            </w:r>
          </w:p>
        </w:tc>
        <w:tc>
          <w:tcPr>
            <w:tcW w:w="630" w:type="dxa"/>
            <w:vAlign w:val="top"/>
            <w:shd w:val="clear" w:color="FFFFFF" w:fill="auto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40"/>
            </w:pPr>
            <w:r>
              <w:t/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5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ffffc0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>-</w:t>
            </w:r>
          </w:p>
        </w:tc>
        <w:tc>
          <w:tcPr>
            <w:gridSpan w:val="2"/>
            <w:tcW w:w="1576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67"/>
            </w:pPr>
            <w:r>
              <w:t>-</w:t>
            </w:r>
          </w:p>
        </w:tc>
        <w:tc>
          <w:tcPr>
            <w:tcW w:w="1575" w:type="dxa"/>
            <w:vAlign w:val="top"/>
            <w:shd w:val="clear" w:color="FFFFFF" w:fill="#c0dcc0"/>
            <w:tcBorders>
              <w:top w:val="single" w:sz="5" w:space="0" w:color="auto"/>
              <w:left w:val="non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8"/>
            </w:pPr>
            <w:r>
              <w:t>-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1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2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5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5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1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2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5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5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6"/>
            </w:pPr>
            <w:r>
              <w:t>Руководитель</w:t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7"/>
            </w:pPr>
            <w:r>
              <w:t/>
            </w:r>
          </w:p>
        </w:tc>
        <w:tc>
          <w:tcPr>
            <w:gridSpan w:val="5"/>
            <w:tcW w:w="3782" w:type="dxa"/>
            <w:vAlign w:val="bottom"/>
            <w:shd w:val="clear" w:color="FFFFFF" w:fill="auto"/>
            <w:pPr>
              <w:jc w:val="left"/>
            </w:pPr>
          </w:tcPr>
          <w:p>
            <w:r>
              <w:t>А.Ш. Харатян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3"/>
            <w:tcW w:w="23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8"/>
            </w:pPr>
            <w:r>
              <w:t>Руководитель финансово- экономической службы</w:t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 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49"/>
            </w:pPr>
            <w:r>
              <w:t>(подпись)</w:t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5"/>
            <w:tcW w:w="3782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3"/>
            <w:tcW w:w="23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8"/>
            </w:pPr>
            <w:r>
              <w:t>Руководитель финансово- экономической службы</w:t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(расшифровка подписи)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8"/>
            <w:tcW w:w="630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520" w:type="dxa"/>
            <w:vAlign w:val="bottom"/>
            <w:shd w:val="clear" w:color="FFFFFF" w:fill="auto"/>
            <w:pPr>
              <w:jc w:val="left"/>
            </w:pPr>
          </w:tcPr>
          <w:p>
            <w:r>
              <w:t> 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6"/>
            </w:pPr>
            <w:r>
              <w:t>Главный бухгалтер</w:t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1"/>
            </w:pPr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7"/>
            </w:pPr>
            <w:r>
              <w:t/>
            </w:r>
          </w:p>
        </w:tc>
        <w:tc>
          <w:tcPr>
            <w:gridSpan w:val="5"/>
            <w:tcW w:w="3782" w:type="dxa"/>
            <w:vAlign w:val="bottom"/>
            <w:shd w:val="clear" w:color="FFFFFF" w:fill="auto"/>
            <w:pPr>
              <w:jc w:val="left"/>
            </w:pPr>
          </w:tcPr>
          <w:p>
            <w:r>
              <w:t>Ю.А. Ложко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 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(подпись)</w:t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5"/>
            <w:tcW w:w="3782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> </w:t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2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8"/>
            <w:tcW w:w="630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152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4"/>
            </w:pPr>
            <w:r>
              <w:t>Централизованная бухгалтерия</w:t>
            </w:r>
          </w:p>
        </w:tc>
        <w:tc>
          <w:tcPr>
            <w:gridSpan w:val="4"/>
            <w:tcW w:w="4726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55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4726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(наименование, ОГРН, ИНН, КПП, местонахождение)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1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2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3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56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57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58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59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60"/>
            </w:pPr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44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160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restart"/>
            <w:gridSpan w:val="4"/>
            <w:tcW w:w="3152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8"/>
            </w:pPr>
            <w:r>
              <w:t>Руководитель </w:t>
              <w:br/>
              <w:t>
 (уполномоченное лицо)</w:t>
            </w:r>
          </w:p>
        </w:tc>
        <w:tc>
          <w:tcPr>
            <w:gridSpan w:val="2"/>
            <w:tcW w:w="1576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61"/>
            </w:pPr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62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bottom"/>
            <w:shd w:val="clear" w:color="FFFFFF" w:fill="#d5eeff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vMerge w:val="continue"/>
            <w:gridSpan w:val="4"/>
            <w:tcW w:w="3152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8"/>
            </w:pPr>
            <w:r>
              <w:t>Руководитель </w:t>
              <w:br/>
              <w:t>
 (уполномоченное лицо)</w:t>
            </w:r>
          </w:p>
        </w:tc>
        <w:tc>
          <w:tcPr>
            <w:gridSpan w:val="2"/>
            <w:tcW w:w="1576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(должность)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63"/>
            </w:pPr>
            <w:r>
              <w:t/>
            </w:r>
          </w:p>
        </w:tc>
        <w:tc>
          <w:tcPr>
            <w:tcW w:w="1575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(расшифровка подписи)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8"/>
            <w:tcW w:w="630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520" w:type="dxa"/>
            <w:vAlign w:val="bottom"/>
            <w:shd w:val="clear" w:color="FFFFFF" w:fill="auto"/>
            <w:pPr>
              <w:jc w:val="left"/>
            </w:pPr>
          </w:tcPr>
          <w:p>
            <w:r>
              <w:t> </w:t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6"/>
            </w:pPr>
            <w:r>
              <w:t>Исполнитель</w:t>
            </w:r>
          </w:p>
        </w:tc>
        <w:tc>
          <w:tcPr>
            <w:tcW w:w="1365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64"/>
            </w:pPr>
            <w:r>
              <w:t/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47"/>
            </w:pPr>
            <w:r>
              <w:t/>
            </w:r>
          </w:p>
        </w:tc>
        <w:tc>
          <w:tcPr>
            <w:gridSpan w:val="3"/>
            <w:tcW w:w="220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3"/>
            <w:tcW w:w="2364" w:type="dxa"/>
            <w:vAlign w:val="bottom"/>
            <w:shd w:val="clear" w:color="FFFFFF" w:fill="#d5eeff"/>
            <w:pPr>
              <w:jc w:val="left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bottom"/>
            <w:shd w:val="clear" w:color="FFFFFF" w:fill="#d5eeff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86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 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(должность)</w:t>
            </w:r>
          </w:p>
        </w:tc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3"/>
            <w:tcW w:w="2206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(подпись)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3"/>
            <w:tcW w:w="2364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(расшифровка подписи)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2363" w:type="dxa"/>
            <w:vAlign w:val="top"/>
            <w:shd w:val="clear" w:color="FFFFFF" w:fill="auto"/>
            <w:tcBorders>
              <w:top w:val="single" w:sz="5" w:space="0" w:color="auto"/>
            </w:tcBorders>
            <w:pPr>
              <w:jc w:val="center"/>
            </w:pPr>
          </w:tcPr>
          <w:p>
            <w:pPr>
              <w:pStyle w:val="1CStyle150"/>
            </w:pPr>
            <w:r>
              <w:t>(телефон, e-mail)</w:t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88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4"/>
            <w:tcW w:w="388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2"/>
            </w:pPr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8"/>
            <w:tcW w:w="630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53"/>
            </w:pPr>
            <w:r>
              <w:t/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gridSpan w:val="3"/>
            <w:tcW w:w="3334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65"/>
            </w:pPr>
            <w:r>
              <w:t>15 января 2015 г.</w:t>
            </w:r>
          </w:p>
        </w:tc>
        <w:tc>
          <w:tcPr>
            <w:tcW w:w="551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63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8"/>
            <w:tcW w:w="630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2"/>
            <w:tcW w:w="1576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24">
    <w:name w:val="1CStyle24"/>
    <w:basedOn w:val="Normal"/>
    <w:pPr>
      <w:jc w:val="center"/>
      <w:rPr>
        <w:rFonts w:ascii="Arial" w:hAnsi="Arial"/>
        <w:b/>
        <w:sz w:val="18"/>
      </w:rPr>
    </w:pPr>
  </w:style>
  <w:style w:type="paragraph" w:styleId="1CStyle154">
    <w:name w:val="1CStyle154"/>
    <w:basedOn w:val="Normal"/>
    <w:pPr>
      <w:jc w:val="center"/>
      <w:rPr>
        <w:rFonts w:ascii="Arial" w:hAnsi="Arial"/>
        <w:i/>
        <w:b/>
        <w:sz w:val="18"/>
      </w:rPr>
    </w:pPr>
  </w:style>
  <w:style w:type="paragraph" w:styleId="1CStyle142">
    <w:name w:val="1CStyle142"/>
    <w:basedOn w:val="Normal"/>
    <w:pPr>
      <w:jc w:val="center"/>
      <w:rPr>
        <w:rFonts w:ascii="Arial" w:hAnsi="Arial"/>
        <w:sz w:val="16"/>
      </w:rPr>
    </w:pPr>
  </w:style>
  <w:style w:type="paragraph" w:styleId="1CStyle143">
    <w:name w:val="1CStyle143"/>
    <w:basedOn w:val="Normal"/>
    <w:pPr>
      <w:jc w:val="center"/>
      <w:rPr>
        <w:rFonts w:ascii="Arial" w:hAnsi="Arial"/>
        <w:sz w:val="16"/>
      </w:rPr>
    </w:pPr>
  </w:style>
  <w:style w:type="paragraph" w:styleId="1CStyle156">
    <w:name w:val="1CStyle156"/>
    <w:basedOn w:val="Normal"/>
    <w:pPr>
      <w:jc w:val="center"/>
      <w:rPr>
        <w:rFonts w:ascii="Arial" w:hAnsi="Arial"/>
        <w:sz w:val="16"/>
      </w:rPr>
    </w:pPr>
  </w:style>
  <w:style w:type="paragraph" w:styleId="1CStyle144">
    <w:name w:val="1CStyle144"/>
    <w:basedOn w:val="Normal"/>
    <w:pPr>
      <w:jc w:val="center"/>
      <w:rPr>
        <w:rFonts w:ascii="Arial" w:hAnsi="Arial"/>
        <w:sz w:val="16"/>
      </w:rPr>
    </w:pPr>
  </w:style>
  <w:style w:type="paragraph" w:styleId="1CStyle158">
    <w:name w:val="1CStyle158"/>
    <w:basedOn w:val="Normal"/>
    <w:pPr>
      <w:jc w:val="center"/>
      <w:rPr>
        <w:rFonts w:ascii="Arial" w:hAnsi="Arial"/>
        <w:sz w:val="16"/>
      </w:rPr>
    </w:pPr>
  </w:style>
  <w:style w:type="paragraph" w:styleId="1CStyle157">
    <w:name w:val="1CStyle157"/>
    <w:basedOn w:val="Normal"/>
    <w:pPr>
      <w:jc w:val="center"/>
      <w:rPr>
        <w:rFonts w:ascii="Arial" w:hAnsi="Arial"/>
        <w:sz w:val="16"/>
      </w:rPr>
    </w:pPr>
  </w:style>
  <w:style w:type="paragraph" w:styleId="1CStyle145">
    <w:name w:val="1CStyle145"/>
    <w:basedOn w:val="Normal"/>
    <w:pPr>
      <w:jc w:val="center"/>
      <w:rPr>
        <w:rFonts w:ascii="Arial" w:hAnsi="Arial"/>
        <w:sz w:val="16"/>
      </w:rPr>
    </w:pPr>
  </w:style>
  <w:style w:type="paragraph" w:styleId="1CStyle160">
    <w:name w:val="1CStyle160"/>
    <w:basedOn w:val="Normal"/>
    <w:pPr>
      <w:jc w:val="center"/>
      <w:rPr>
        <w:rFonts w:ascii="Arial" w:hAnsi="Arial"/>
        <w:sz w:val="16"/>
      </w:rPr>
    </w:pPr>
  </w:style>
  <w:style w:type="paragraph" w:styleId="1CStyle159">
    <w:name w:val="1CStyle159"/>
    <w:basedOn w:val="Normal"/>
    <w:pPr>
      <w:jc w:val="center"/>
      <w:rPr>
        <w:rFonts w:ascii="Arial" w:hAnsi="Arial"/>
        <w:sz w:val="16"/>
      </w:rPr>
    </w:pPr>
  </w:style>
  <w:style w:type="paragraph" w:styleId="1CStyle115">
    <w:name w:val="1CStyle115"/>
    <w:basedOn w:val="Normal"/>
    <w:pPr>
      <w:jc w:val="center"/>
      <w:rPr>
        <w:rFonts w:ascii="Arial" w:hAnsi="Arial"/>
        <w:b/>
        <w:sz w:val="18"/>
      </w:rPr>
    </w:pPr>
  </w:style>
  <w:style w:type="paragraph" w:styleId="1CStyle4">
    <w:name w:val="1CStyle4"/>
    <w:basedOn w:val="Normal"/>
    <w:pPr>
      <w:jc w:val="right"/>
      <w:rPr/>
    </w:pPr>
  </w:style>
  <w:style w:type="paragraph" w:styleId="1CStyle22">
    <w:name w:val="1CStyle22"/>
    <w:basedOn w:val="Normal"/>
    <w:pPr>
      <w:jc w:val="right"/>
      <w:rPr/>
    </w:pPr>
  </w:style>
  <w:style w:type="paragraph" w:styleId="1CStyle70">
    <w:name w:val="1CStyle70"/>
    <w:basedOn w:val="Normal"/>
    <w:pPr>
      <w:jc w:val="center"/>
      <w:rPr>
        <w:rFonts w:ascii="Arial" w:hAnsi="Arial"/>
        <w:b/>
        <w:sz w:val="18"/>
      </w:rPr>
    </w:pPr>
  </w:style>
  <w:style w:type="paragraph" w:styleId="1CStyle71">
    <w:name w:val="1CStyle71"/>
    <w:basedOn w:val="Normal"/>
    <w:pPr>
      <w:jc w:val="center"/>
      <w:rPr>
        <w:rFonts w:ascii="Arial" w:hAnsi="Arial"/>
        <w:b/>
        <w:sz w:val="18"/>
      </w:rPr>
    </w:pPr>
  </w:style>
  <w:style w:type="paragraph" w:styleId="1CStyle72">
    <w:name w:val="1CStyle72"/>
    <w:basedOn w:val="Normal"/>
    <w:pPr>
      <w:jc w:val="center"/>
      <w:rPr>
        <w:rFonts w:ascii="Arial" w:hAnsi="Arial"/>
        <w:b/>
        <w:sz w:val="18"/>
      </w:rPr>
    </w:pPr>
  </w:style>
  <w:style w:type="paragraph" w:styleId="1CStyle73">
    <w:name w:val="1CStyle73"/>
    <w:basedOn w:val="Normal"/>
    <w:pPr>
      <w:jc w:val="center"/>
      <w:rPr>
        <w:rFonts w:ascii="Arial" w:hAnsi="Arial"/>
        <w:b/>
        <w:sz w:val="18"/>
      </w:rPr>
    </w:pPr>
  </w:style>
  <w:style w:type="paragraph" w:styleId="1CStyle74">
    <w:name w:val="1CStyle74"/>
    <w:basedOn w:val="Normal"/>
    <w:pPr>
      <w:jc w:val="center"/>
      <w:rPr>
        <w:rFonts w:ascii="Arial" w:hAnsi="Arial"/>
        <w:b/>
        <w:sz w:val="18"/>
      </w:rPr>
    </w:pPr>
  </w:style>
  <w:style w:type="paragraph" w:styleId="1CStyle121">
    <w:name w:val="1CStyle121"/>
    <w:basedOn w:val="Normal"/>
    <w:pPr>
      <w:jc w:val="center"/>
      <w:rPr/>
    </w:pPr>
  </w:style>
  <w:style w:type="paragraph" w:styleId="1CStyle17">
    <w:name w:val="1CStyle17"/>
    <w:basedOn w:val="Normal"/>
    <w:pPr>
      <w:jc w:val="center"/>
      <w:rPr/>
    </w:pPr>
  </w:style>
  <w:style w:type="paragraph" w:styleId="1CStyle86">
    <w:name w:val="1CStyle86"/>
    <w:basedOn w:val="Normal"/>
    <w:pPr>
      <w:jc w:val="center"/>
      <w:rPr/>
    </w:pPr>
  </w:style>
  <w:style w:type="paragraph" w:styleId="1CStyle37">
    <w:name w:val="1CStyle37"/>
    <w:basedOn w:val="Normal"/>
    <w:pPr>
      <w:jc w:val="center"/>
      <w:rPr/>
    </w:pPr>
  </w:style>
  <w:style w:type="paragraph" w:styleId="1CStyle53">
    <w:name w:val="1CStyle53"/>
    <w:basedOn w:val="Normal"/>
    <w:pPr>
      <w:jc w:val="center"/>
      <w:rPr>
        <w:rFonts w:ascii="Arial" w:hAnsi="Arial"/>
        <w:sz w:val="16"/>
      </w:rPr>
    </w:pPr>
  </w:style>
  <w:style w:type="paragraph" w:styleId="1CStyle135">
    <w:name w:val="1CStyle135"/>
    <w:basedOn w:val="Normal"/>
    <w:pPr>
      <w:jc w:val="center"/>
      <w:rPr>
        <w:rFonts w:ascii="Arial" w:hAnsi="Arial"/>
        <w:sz w:val="16"/>
      </w:rPr>
    </w:pPr>
  </w:style>
  <w:style w:type="paragraph" w:styleId="1CStyle138">
    <w:name w:val="1CStyle138"/>
    <w:basedOn w:val="Normal"/>
    <w:pPr>
      <w:jc w:val="center"/>
      <w:rPr>
        <w:rFonts w:ascii="Arial" w:hAnsi="Arial"/>
        <w:sz w:val="16"/>
      </w:rPr>
    </w:pPr>
  </w:style>
  <w:style w:type="paragraph" w:styleId="1CStyle140">
    <w:name w:val="1CStyle140"/>
    <w:basedOn w:val="Normal"/>
    <w:pPr>
      <w:jc w:val="center"/>
      <w:rPr>
        <w:rFonts w:ascii="Arial" w:hAnsi="Arial"/>
        <w:sz w:val="16"/>
      </w:rPr>
    </w:pPr>
  </w:style>
  <w:style w:type="paragraph" w:styleId="1CStyle136">
    <w:name w:val="1CStyle136"/>
    <w:basedOn w:val="Normal"/>
    <w:pPr>
      <w:jc w:val="center"/>
      <w:rPr>
        <w:rFonts w:ascii="Arial" w:hAnsi="Arial"/>
        <w:sz w:val="16"/>
      </w:rPr>
    </w:pPr>
  </w:style>
  <w:style w:type="paragraph" w:styleId="1CStyle118">
    <w:name w:val="1CStyle118"/>
    <w:basedOn w:val="Normal"/>
    <w:pPr>
      <w:jc w:val="center"/>
      <w:rPr>
        <w:rFonts w:ascii="Arial" w:hAnsi="Arial"/>
        <w:sz w:val="16"/>
      </w:rPr>
    </w:pPr>
  </w:style>
  <w:style w:type="paragraph" w:styleId="1CStyle117">
    <w:name w:val="1CStyle117"/>
    <w:basedOn w:val="Normal"/>
    <w:pPr>
      <w:jc w:val="center"/>
      <w:rPr>
        <w:rFonts w:ascii="Arial" w:hAnsi="Arial"/>
        <w:sz w:val="16"/>
      </w:rPr>
    </w:pPr>
  </w:style>
  <w:style w:type="paragraph" w:styleId="1CStyle108">
    <w:name w:val="1CStyle108"/>
    <w:basedOn w:val="Normal"/>
    <w:pPr>
      <w:jc w:val="center"/>
      <w:rPr>
        <w:rFonts w:ascii="Arial" w:hAnsi="Arial"/>
        <w:sz w:val="16"/>
      </w:rPr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52">
    <w:name w:val="1CStyle152"/>
    <w:basedOn w:val="Normal"/>
    <w:pPr>
      <w:wordWrap w:val="1"/>
      <w:jc w:val="center"/>
      <w:rPr/>
    </w:pPr>
  </w:style>
  <w:style w:type="paragraph" w:styleId="1CStyle153">
    <w:name w:val="1CStyle153"/>
    <w:basedOn w:val="Normal"/>
    <w:pPr>
      <w:wordWrap w:val="1"/>
      <w:jc w:val="center"/>
      <w:rPr/>
    </w:pPr>
  </w:style>
  <w:style w:type="paragraph" w:styleId="1CStyle163">
    <w:name w:val="1CStyle163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41">
    <w:name w:val="1CStyle141"/>
    <w:basedOn w:val="Normal"/>
    <w:pPr>
      <w:wordWrap w:val="1"/>
      <w:jc w:val="center"/>
      <w:rPr/>
    </w:pPr>
  </w:style>
  <w:style w:type="paragraph" w:styleId="1CStyle26">
    <w:name w:val="1CStyle26"/>
    <w:basedOn w:val="Normal"/>
    <w:pPr>
      <w:wordWrap w:val="1"/>
      <w:jc w:val="center"/>
      <w:rPr/>
    </w:pPr>
  </w:style>
  <w:style w:type="paragraph" w:styleId="1CStyle116">
    <w:name w:val="1CStyle116"/>
    <w:basedOn w:val="Normal"/>
    <w:pPr>
      <w:wordWrap w:val="1"/>
      <w:jc w:val="center"/>
      <w:rPr/>
    </w:pPr>
  </w:style>
  <w:style w:type="paragraph" w:styleId="1CStyle76">
    <w:name w:val="1CStyle76"/>
    <w:basedOn w:val="Normal"/>
    <w:pPr>
      <w:wordWrap w:val="1"/>
      <w:jc w:val="center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69">
    <w:name w:val="1CStyle69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-1">
    <w:name w:val="1CStyle-1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82">
    <w:name w:val="1CStyle82"/>
    <w:basedOn w:val="Normal"/>
    <w:pPr>
      <w:wordWrap w:val="1"/>
      <w:jc w:val="center"/>
      <w:rPr/>
    </w:pPr>
  </w:style>
  <w:style w:type="paragraph" w:styleId="1CStyle32">
    <w:name w:val="1CStyle32"/>
    <w:basedOn w:val="Normal"/>
    <w:pPr>
      <w:wordWrap w:val="1"/>
      <w:jc w:val="center"/>
      <w:rPr/>
    </w:pPr>
  </w:style>
  <w:style w:type="paragraph" w:styleId="1CStyle151">
    <w:name w:val="1CStyle151"/>
    <w:basedOn w:val="Normal"/>
    <w:pPr>
      <w:jc w:val="center"/>
      <w:rPr>
        <w:rFonts w:ascii="Arial" w:hAnsi="Arial"/>
        <w:b/>
        <w:sz w:val="18"/>
      </w:rPr>
    </w:pPr>
  </w:style>
  <w:style w:type="paragraph" w:styleId="1CStyle147">
    <w:name w:val="1CStyle147"/>
    <w:basedOn w:val="Normal"/>
    <w:pPr>
      <w:jc w:val="center"/>
      <w:rPr>
        <w:rFonts w:ascii="Arial" w:hAnsi="Arial"/>
        <w:b/>
        <w:sz w:val="18"/>
      </w:rPr>
    </w:pPr>
  </w:style>
  <w:style w:type="paragraph" w:styleId="1CStyle99">
    <w:name w:val="1CStyle99"/>
    <w:basedOn w:val="Normal"/>
    <w:pPr>
      <w:jc w:val="center"/>
      <w:rPr>
        <w:rFonts w:ascii="Arial" w:hAnsi="Arial"/>
        <w:b/>
        <w:sz w:val="18"/>
      </w:rPr>
    </w:pPr>
  </w:style>
  <w:style w:type="paragraph" w:styleId="1CStyle100">
    <w:name w:val="1CStyle100"/>
    <w:basedOn w:val="Normal"/>
    <w:pPr>
      <w:jc w:val="center"/>
      <w:rPr>
        <w:rFonts w:ascii="Arial" w:hAnsi="Arial"/>
        <w:b/>
        <w:sz w:val="18"/>
      </w:rPr>
    </w:pPr>
  </w:style>
  <w:style w:type="paragraph" w:styleId="1CStyle101">
    <w:name w:val="1CStyle101"/>
    <w:basedOn w:val="Normal"/>
    <w:pPr>
      <w:jc w:val="center"/>
      <w:rPr>
        <w:rFonts w:ascii="Arial" w:hAnsi="Arial"/>
        <w:b/>
        <w:sz w:val="18"/>
      </w:rPr>
    </w:pPr>
  </w:style>
  <w:style w:type="paragraph" w:styleId="1CStyle149">
    <w:name w:val="1CStyle149"/>
    <w:basedOn w:val="Normal"/>
    <w:pPr>
      <w:jc w:val="center"/>
      <w:rPr>
        <w:rFonts w:ascii="Arial" w:hAnsi="Arial"/>
        <w:sz w:val="14"/>
      </w:rPr>
    </w:pPr>
  </w:style>
  <w:style w:type="paragraph" w:styleId="1CStyle150">
    <w:name w:val="1CStyle150"/>
    <w:basedOn w:val="Normal"/>
    <w:pPr>
      <w:jc w:val="center"/>
      <w:rPr>
        <w:rFonts w:ascii="Arial" w:hAnsi="Arial"/>
        <w:sz w:val="14"/>
      </w:rPr>
    </w:pPr>
  </w:style>
  <w:style w:type="paragraph" w:styleId="1CStyle35">
    <w:name w:val="1CStyle35"/>
    <w:basedOn w:val="Normal"/>
    <w:pPr>
      <w:jc w:val="center"/>
      <w:rPr/>
    </w:pPr>
  </w:style>
  <w:style w:type="paragraph" w:styleId="1CStyle34">
    <w:name w:val="1CStyle34"/>
    <w:basedOn w:val="Normal"/>
    <w:pPr>
      <w:jc w:val="center"/>
      <w:rPr/>
    </w:pPr>
  </w:style>
  <w:style w:type="paragraph" w:styleId="1CStyle84">
    <w:name w:val="1CStyle84"/>
    <w:basedOn w:val="Normal"/>
    <w:pPr>
      <w:jc w:val="center"/>
      <w:rPr/>
    </w:pPr>
  </w:style>
  <w:style w:type="paragraph" w:styleId="1CStyle36">
    <w:name w:val="1CStyle36"/>
    <w:basedOn w:val="Normal"/>
    <w:pPr>
      <w:jc w:val="center"/>
      <w:rPr/>
    </w:pPr>
  </w:style>
  <w:style w:type="paragraph" w:styleId="1CStyle30">
    <w:name w:val="1CStyle30"/>
    <w:basedOn w:val="Normal"/>
    <w:pPr>
      <w:jc w:val="center"/>
      <w:rPr/>
    </w:pPr>
  </w:style>
  <w:style w:type="paragraph" w:styleId="1CStyle3">
    <w:name w:val="1CStyle3"/>
    <w:basedOn w:val="Normal"/>
    <w:pPr>
      <w:jc w:val="center"/>
      <w:rPr/>
    </w:pPr>
  </w:style>
  <w:style w:type="paragraph" w:styleId="1CStyle1">
    <w:name w:val="1CStyle1"/>
    <w:basedOn w:val="Normal"/>
    <w:pPr>
      <w:jc w:val="center"/>
      <w:rPr/>
    </w:pPr>
  </w:style>
  <w:style w:type="paragraph" w:styleId="1CStyle19">
    <w:name w:val="1CStyle19"/>
    <w:basedOn w:val="Normal"/>
    <w:pPr>
      <w:jc w:val="center"/>
      <w:rPr/>
    </w:pPr>
  </w:style>
  <w:style w:type="paragraph" w:styleId="1CStyle85">
    <w:name w:val="1CStyle85"/>
    <w:basedOn w:val="Normal"/>
    <w:pPr>
      <w:jc w:val="center"/>
      <w:rPr/>
    </w:pPr>
  </w:style>
  <w:style w:type="paragraph" w:styleId="1CStyle79">
    <w:name w:val="1CStyle79"/>
    <w:basedOn w:val="Normal"/>
    <w:pPr>
      <w:jc w:val="center"/>
      <w:rPr/>
    </w:pPr>
  </w:style>
  <w:style w:type="paragraph" w:styleId="1CStyle87">
    <w:name w:val="1CStyle87"/>
    <w:basedOn w:val="Normal"/>
    <w:pPr>
      <w:jc w:val="center"/>
      <w:rPr/>
    </w:pPr>
  </w:style>
  <w:style w:type="paragraph" w:styleId="1CStyle38">
    <w:name w:val="1CStyle38"/>
    <w:basedOn w:val="Normal"/>
    <w:pPr>
      <w:jc w:val="center"/>
      <w:rPr/>
    </w:pPr>
  </w:style>
  <w:style w:type="paragraph" w:styleId="1CStyle46">
    <w:name w:val="1CStyle46"/>
    <w:basedOn w:val="Normal"/>
    <w:pPr>
      <w:jc w:val="center"/>
      <w:rPr>
        <w:rFonts w:ascii="Arial" w:hAnsi="Arial"/>
        <w:sz w:val="16"/>
      </w:rPr>
    </w:pPr>
  </w:style>
  <w:style w:type="paragraph" w:styleId="1CStyle63">
    <w:name w:val="1CStyle63"/>
    <w:basedOn w:val="Normal"/>
    <w:pPr>
      <w:jc w:val="center"/>
      <w:rPr>
        <w:rFonts w:ascii="Arial" w:hAnsi="Arial"/>
        <w:sz w:val="16"/>
      </w:rPr>
    </w:pPr>
  </w:style>
  <w:style w:type="paragraph" w:styleId="1CStyle55">
    <w:name w:val="1CStyle55"/>
    <w:basedOn w:val="Normal"/>
    <w:pPr>
      <w:jc w:val="center"/>
      <w:rPr>
        <w:rFonts w:ascii="Arial" w:hAnsi="Arial"/>
        <w:sz w:val="16"/>
      </w:rPr>
    </w:pPr>
  </w:style>
  <w:style w:type="paragraph" w:styleId="1CStyle93">
    <w:name w:val="1CStyle93"/>
    <w:basedOn w:val="Normal"/>
    <w:pPr>
      <w:jc w:val="center"/>
      <w:rPr>
        <w:rFonts w:ascii="Arial" w:hAnsi="Arial"/>
        <w:sz w:val="16"/>
      </w:rPr>
    </w:pPr>
  </w:style>
  <w:style w:type="paragraph" w:styleId="1CStyle40">
    <w:name w:val="1CStyle40"/>
    <w:basedOn w:val="Normal"/>
    <w:pPr>
      <w:jc w:val="center"/>
      <w:rPr>
        <w:rFonts w:ascii="Arial" w:hAnsi="Arial"/>
        <w:sz w:val="16"/>
      </w:rPr>
    </w:pPr>
  </w:style>
  <w:style w:type="paragraph" w:styleId="1CStyle102">
    <w:name w:val="1CStyle102"/>
    <w:basedOn w:val="Normal"/>
    <w:pPr>
      <w:jc w:val="center"/>
      <w:rPr>
        <w:rFonts w:ascii="Arial" w:hAnsi="Arial"/>
        <w:sz w:val="16"/>
      </w:rPr>
    </w:pPr>
  </w:style>
  <w:style w:type="paragraph" w:styleId="1CStyle110">
    <w:name w:val="1CStyle110"/>
    <w:basedOn w:val="Normal"/>
    <w:pPr>
      <w:jc w:val="center"/>
      <w:rPr>
        <w:rFonts w:ascii="Arial" w:hAnsi="Arial"/>
        <w:sz w:val="16"/>
      </w:rPr>
    </w:pPr>
  </w:style>
  <w:style w:type="paragraph" w:styleId="1CStyle47">
    <w:name w:val="1CStyle47"/>
    <w:basedOn w:val="Normal"/>
    <w:pPr>
      <w:jc w:val="center"/>
      <w:rPr>
        <w:rFonts w:ascii="Arial" w:hAnsi="Arial"/>
        <w:sz w:val="16"/>
      </w:rPr>
    </w:pPr>
  </w:style>
  <w:style w:type="paragraph" w:styleId="1CStyle64">
    <w:name w:val="1CStyle64"/>
    <w:basedOn w:val="Normal"/>
    <w:pPr>
      <w:jc w:val="center"/>
      <w:rPr>
        <w:rFonts w:ascii="Arial" w:hAnsi="Arial"/>
        <w:sz w:val="16"/>
      </w:rPr>
    </w:pPr>
  </w:style>
  <w:style w:type="paragraph" w:styleId="1CStyle56">
    <w:name w:val="1CStyle56"/>
    <w:basedOn w:val="Normal"/>
    <w:pPr>
      <w:jc w:val="center"/>
      <w:rPr>
        <w:rFonts w:ascii="Arial" w:hAnsi="Arial"/>
        <w:sz w:val="16"/>
      </w:rPr>
    </w:pPr>
  </w:style>
  <w:style w:type="paragraph" w:styleId="1CStyle94">
    <w:name w:val="1CStyle94"/>
    <w:basedOn w:val="Normal"/>
    <w:pPr>
      <w:jc w:val="center"/>
      <w:rPr>
        <w:rFonts w:ascii="Arial" w:hAnsi="Arial"/>
        <w:sz w:val="16"/>
      </w:rPr>
    </w:pPr>
  </w:style>
  <w:style w:type="paragraph" w:styleId="1CStyle41">
    <w:name w:val="1CStyle41"/>
    <w:basedOn w:val="Normal"/>
    <w:pPr>
      <w:jc w:val="center"/>
      <w:rPr>
        <w:rFonts w:ascii="Arial" w:hAnsi="Arial"/>
        <w:sz w:val="16"/>
      </w:rPr>
    </w:pPr>
  </w:style>
  <w:style w:type="paragraph" w:styleId="1CStyle103">
    <w:name w:val="1CStyle103"/>
    <w:basedOn w:val="Normal"/>
    <w:pPr>
      <w:jc w:val="center"/>
      <w:rPr>
        <w:rFonts w:ascii="Arial" w:hAnsi="Arial"/>
        <w:sz w:val="16"/>
      </w:rPr>
    </w:pPr>
  </w:style>
  <w:style w:type="paragraph" w:styleId="1CStyle111">
    <w:name w:val="1CStyle111"/>
    <w:basedOn w:val="Normal"/>
    <w:pPr>
      <w:jc w:val="center"/>
      <w:rPr>
        <w:rFonts w:ascii="Arial" w:hAnsi="Arial"/>
        <w:sz w:val="16"/>
      </w:rPr>
    </w:pPr>
  </w:style>
  <w:style w:type="paragraph" w:styleId="1CStyle6">
    <w:name w:val="1CStyle6"/>
    <w:basedOn w:val="Normal"/>
    <w:pPr>
      <w:wordWrap w:val="1"/>
      <w:jc w:val="center"/>
      <w:rPr/>
    </w:pPr>
  </w:style>
  <w:style w:type="paragraph" w:styleId="1CStyle21">
    <w:name w:val="1CStyle21"/>
    <w:basedOn w:val="Normal"/>
    <w:pPr>
      <w:wordWrap w:val="1"/>
      <w:jc w:val="center"/>
      <w:rPr/>
    </w:pPr>
  </w:style>
  <w:style w:type="paragraph" w:styleId="1CStyle18">
    <w:name w:val="1CStyle18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62">
    <w:name w:val="1CStyle162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48">
    <w:name w:val="1CStyle148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46">
    <w:name w:val="1CStyle146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98">
    <w:name w:val="1CStyle98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33">
    <w:name w:val="1CStyle33"/>
    <w:basedOn w:val="Normal"/>
    <w:pPr>
      <w:wordWrap w:val="1"/>
      <w:jc w:val="center"/>
      <w:rPr/>
    </w:pPr>
  </w:style>
  <w:style w:type="paragraph" w:styleId="1CStyle27">
    <w:name w:val="1CStyle27"/>
    <w:basedOn w:val="Normal"/>
    <w:pPr>
      <w:wordWrap w:val="1"/>
      <w:jc w:val="center"/>
      <w:rPr/>
    </w:pPr>
  </w:style>
  <w:style w:type="paragraph" w:styleId="1CStyle83">
    <w:name w:val="1CStyle83"/>
    <w:basedOn w:val="Normal"/>
    <w:pPr>
      <w:wordWrap w:val="1"/>
      <w:jc w:val="center"/>
      <w:rPr/>
    </w:pPr>
  </w:style>
  <w:style w:type="paragraph" w:styleId="1CStyle77">
    <w:name w:val="1CStyle77"/>
    <w:basedOn w:val="Normal"/>
    <w:pPr>
      <w:wordWrap w:val="1"/>
      <w:jc w:val="center"/>
      <w:rPr/>
    </w:pPr>
  </w:style>
  <w:style w:type="paragraph" w:styleId="1CStyle28">
    <w:name w:val="1CStyle28"/>
    <w:basedOn w:val="Normal"/>
    <w:pPr>
      <w:wordWrap w:val="1"/>
      <w:jc w:val="center"/>
      <w:rPr/>
    </w:pPr>
  </w:style>
  <w:style w:type="paragraph" w:styleId="1CStyle78">
    <w:name w:val="1CStyle78"/>
    <w:basedOn w:val="Normal"/>
    <w:pPr>
      <w:wordWrap w:val="1"/>
      <w:jc w:val="center"/>
      <w:rPr/>
    </w:pPr>
  </w:style>
  <w:style w:type="paragraph" w:styleId="1CStyle29">
    <w:name w:val="1CStyle29"/>
    <w:basedOn w:val="Normal"/>
    <w:pPr>
      <w:wordWrap w:val="1"/>
      <w:jc w:val="center"/>
      <w:rPr/>
    </w:pPr>
  </w:style>
  <w:style w:type="paragraph" w:styleId="1CStyle81">
    <w:name w:val="1CStyle81"/>
    <w:basedOn w:val="Normal"/>
    <w:pPr>
      <w:wordWrap w:val="1"/>
      <w:jc w:val="center"/>
      <w:rPr/>
    </w:pPr>
  </w:style>
  <w:style w:type="paragraph" w:styleId="1CStyle80">
    <w:name w:val="1CStyle80"/>
    <w:basedOn w:val="Normal"/>
    <w:pPr>
      <w:wordWrap w:val="1"/>
      <w:jc w:val="center"/>
      <w:rPr/>
    </w:pPr>
  </w:style>
  <w:style w:type="paragraph" w:styleId="1CStyle31">
    <w:name w:val="1CStyle31"/>
    <w:basedOn w:val="Normal"/>
    <w:pPr>
      <w:wordWrap w:val="1"/>
      <w:jc w:val="center"/>
      <w:rPr/>
    </w:pPr>
  </w:style>
  <w:style w:type="paragraph" w:styleId="1CStyle25">
    <w:name w:val="1CStyle25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75">
    <w:name w:val="1CStyle75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20">
    <w:name w:val="1CStyle120"/>
    <w:basedOn w:val="Normal"/>
    <w:pPr>
      <w:jc w:val="right"/>
      <w:rPr>
        <w:rFonts w:ascii="Arial" w:hAnsi="Arial"/>
        <w:sz w:val="16"/>
      </w:rPr>
    </w:pPr>
  </w:style>
  <w:style w:type="paragraph" w:styleId="1CStyle137">
    <w:name w:val="1CStyle137"/>
    <w:basedOn w:val="Normal"/>
    <w:pPr>
      <w:jc w:val="right"/>
      <w:rPr>
        <w:rFonts w:ascii="Arial" w:hAnsi="Arial"/>
        <w:sz w:val="16"/>
      </w:rPr>
    </w:pPr>
  </w:style>
  <w:style w:type="paragraph" w:styleId="1CStyle133">
    <w:name w:val="1CStyle133"/>
    <w:basedOn w:val="Normal"/>
    <w:pPr>
      <w:jc w:val="right"/>
      <w:rPr>
        <w:rFonts w:ascii="Arial" w:hAnsi="Arial"/>
        <w:sz w:val="16"/>
      </w:rPr>
    </w:pPr>
  </w:style>
  <w:style w:type="paragraph" w:styleId="1CStyle12">
    <w:name w:val="1CStyle12"/>
    <w:basedOn w:val="Normal"/>
    <w:pPr>
      <w:jc w:val="center"/>
      <w:rPr/>
    </w:pPr>
  </w:style>
  <w:style w:type="paragraph" w:styleId="1CStyle16">
    <w:name w:val="1CStyle16"/>
    <w:basedOn w:val="Normal"/>
    <w:pPr>
      <w:jc w:val="center"/>
      <w:rPr/>
    </w:pPr>
  </w:style>
  <w:style w:type="paragraph" w:styleId="1CStyle155">
    <w:name w:val="1CStyle155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jc w:val="center"/>
      <w:rPr/>
    </w:pPr>
  </w:style>
  <w:style w:type="paragraph" w:styleId="1CStyle23">
    <w:name w:val="1CStyle23"/>
    <w:basedOn w:val="Normal"/>
    <w:pPr>
      <w:jc w:val="center"/>
      <w:rPr/>
    </w:pPr>
  </w:style>
  <w:style w:type="paragraph" w:styleId="1CStyle164">
    <w:name w:val="1CStyle164"/>
    <w:basedOn w:val="Normal"/>
    <w:pPr>
      <w:jc w:val="center"/>
      <w:rPr>
        <w:rFonts w:ascii="Arial" w:hAnsi="Arial"/>
        <w:b/>
        <w:sz w:val="18"/>
      </w:rPr>
    </w:pPr>
  </w:style>
  <w:style w:type="paragraph" w:styleId="1CStyle39">
    <w:name w:val="1CStyle39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88">
    <w:name w:val="1CStyle88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109">
    <w:name w:val="1CStyle109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20">
    <w:name w:val="1CStyle20"/>
    <w:basedOn w:val="Normal"/>
    <w:pPr>
      <w:wordWrap w:val="1"/>
      <w:jc w:val="center"/>
      <w:rPr/>
    </w:pPr>
  </w:style>
  <w:style w:type="paragraph" w:styleId="1CStyle161">
    <w:name w:val="1CStyle161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jc w:val="center"/>
      <w:rPr/>
    </w:pPr>
  </w:style>
  <w:style w:type="paragraph" w:styleId="1CStyle61">
    <w:name w:val="1CStyle61"/>
    <w:basedOn w:val="Normal"/>
    <w:pPr>
      <w:jc w:val="right"/>
      <w:rPr>
        <w:rFonts w:ascii="Arial" w:hAnsi="Arial"/>
        <w:sz w:val="16"/>
      </w:rPr>
    </w:pPr>
  </w:style>
  <w:style w:type="paragraph" w:styleId="1CStyle95">
    <w:name w:val="1CStyle95"/>
    <w:basedOn w:val="Normal"/>
    <w:pPr>
      <w:jc w:val="right"/>
      <w:rPr>
        <w:rFonts w:ascii="Arial" w:hAnsi="Arial"/>
        <w:sz w:val="16"/>
      </w:rPr>
    </w:pPr>
  </w:style>
  <w:style w:type="paragraph" w:styleId="1CStyle89">
    <w:name w:val="1CStyle89"/>
    <w:basedOn w:val="Normal"/>
    <w:pPr>
      <w:jc w:val="right"/>
      <w:rPr>
        <w:rFonts w:ascii="Arial" w:hAnsi="Arial"/>
        <w:sz w:val="16"/>
      </w:rPr>
    </w:pPr>
  </w:style>
  <w:style w:type="paragraph" w:styleId="1CStyle104">
    <w:name w:val="1CStyle104"/>
    <w:basedOn w:val="Normal"/>
    <w:pPr>
      <w:jc w:val="right"/>
      <w:rPr>
        <w:rFonts w:ascii="Arial" w:hAnsi="Arial"/>
        <w:sz w:val="16"/>
      </w:rPr>
    </w:pPr>
  </w:style>
  <w:style w:type="paragraph" w:styleId="1CStyle112">
    <w:name w:val="1CStyle112"/>
    <w:basedOn w:val="Normal"/>
    <w:pPr>
      <w:jc w:val="right"/>
      <w:rPr>
        <w:rFonts w:ascii="Arial" w:hAnsi="Arial"/>
        <w:sz w:val="16"/>
      </w:rPr>
    </w:pPr>
  </w:style>
  <w:style w:type="paragraph" w:styleId="1CStyle42">
    <w:name w:val="1CStyle42"/>
    <w:basedOn w:val="Normal"/>
    <w:pPr>
      <w:jc w:val="right"/>
      <w:rPr>
        <w:rFonts w:ascii="Arial" w:hAnsi="Arial"/>
        <w:sz w:val="16"/>
      </w:rPr>
    </w:pPr>
  </w:style>
  <w:style w:type="paragraph" w:styleId="1CStyle132">
    <w:name w:val="1CStyle132"/>
    <w:basedOn w:val="Normal"/>
    <w:pPr>
      <w:jc w:val="right"/>
      <w:rPr>
        <w:rFonts w:ascii="Arial" w:hAnsi="Arial"/>
        <w:sz w:val="16"/>
      </w:rPr>
    </w:pPr>
  </w:style>
  <w:style w:type="paragraph" w:styleId="1CStyle127">
    <w:name w:val="1CStyle127"/>
    <w:basedOn w:val="Normal"/>
    <w:pPr>
      <w:jc w:val="right"/>
      <w:rPr>
        <w:rFonts w:ascii="Arial" w:hAnsi="Arial"/>
        <w:sz w:val="16"/>
      </w:rPr>
    </w:pPr>
  </w:style>
  <w:style w:type="paragraph" w:styleId="1CStyle50">
    <w:name w:val="1CStyle50"/>
    <w:basedOn w:val="Normal"/>
    <w:pPr>
      <w:jc w:val="right"/>
      <w:rPr>
        <w:rFonts w:ascii="Arial" w:hAnsi="Arial"/>
        <w:sz w:val="16"/>
      </w:rPr>
    </w:pPr>
  </w:style>
  <w:style w:type="paragraph" w:styleId="1CStyle139">
    <w:name w:val="1CStyle139"/>
    <w:basedOn w:val="Normal"/>
    <w:pPr>
      <w:jc w:val="right"/>
      <w:rPr>
        <w:rFonts w:ascii="Arial" w:hAnsi="Arial"/>
        <w:sz w:val="16"/>
      </w:rPr>
    </w:pPr>
  </w:style>
  <w:style w:type="paragraph" w:styleId="1CStyle67">
    <w:name w:val="1CStyle67"/>
    <w:basedOn w:val="Normal"/>
    <w:pPr>
      <w:jc w:val="right"/>
      <w:rPr>
        <w:rFonts w:ascii="Arial" w:hAnsi="Arial"/>
        <w:sz w:val="16"/>
      </w:rPr>
    </w:pPr>
  </w:style>
  <w:style w:type="paragraph" w:styleId="1CStyle59">
    <w:name w:val="1CStyle59"/>
    <w:basedOn w:val="Normal"/>
    <w:pPr>
      <w:jc w:val="right"/>
      <w:rPr>
        <w:rFonts w:ascii="Arial" w:hAnsi="Arial"/>
        <w:sz w:val="16"/>
      </w:rPr>
    </w:pPr>
  </w:style>
  <w:style w:type="paragraph" w:styleId="1CStyle96">
    <w:name w:val="1CStyle96"/>
    <w:basedOn w:val="Normal"/>
    <w:pPr>
      <w:jc w:val="right"/>
      <w:rPr>
        <w:rFonts w:ascii="Arial" w:hAnsi="Arial"/>
        <w:sz w:val="16"/>
      </w:rPr>
    </w:pPr>
  </w:style>
  <w:style w:type="paragraph" w:styleId="1CStyle43">
    <w:name w:val="1CStyle43"/>
    <w:basedOn w:val="Normal"/>
    <w:pPr>
      <w:jc w:val="right"/>
      <w:rPr>
        <w:rFonts w:ascii="Arial" w:hAnsi="Arial"/>
        <w:sz w:val="16"/>
      </w:rPr>
    </w:pPr>
  </w:style>
  <w:style w:type="paragraph" w:styleId="1CStyle105">
    <w:name w:val="1CStyle105"/>
    <w:basedOn w:val="Normal"/>
    <w:pPr>
      <w:jc w:val="right"/>
      <w:rPr>
        <w:rFonts w:ascii="Arial" w:hAnsi="Arial"/>
        <w:sz w:val="16"/>
      </w:rPr>
    </w:pPr>
  </w:style>
  <w:style w:type="paragraph" w:styleId="1CStyle113">
    <w:name w:val="1CStyle113"/>
    <w:basedOn w:val="Normal"/>
    <w:pPr>
      <w:jc w:val="right"/>
      <w:rPr>
        <w:rFonts w:ascii="Arial" w:hAnsi="Arial"/>
        <w:sz w:val="16"/>
      </w:rPr>
    </w:pPr>
  </w:style>
  <w:style w:type="paragraph" w:styleId="1CStyle51">
    <w:name w:val="1CStyle51"/>
    <w:basedOn w:val="Normal"/>
    <w:pPr>
      <w:jc w:val="right"/>
      <w:rPr>
        <w:rFonts w:ascii="Arial" w:hAnsi="Arial"/>
        <w:sz w:val="16"/>
      </w:rPr>
    </w:pPr>
  </w:style>
  <w:style w:type="paragraph" w:styleId="1CStyle68">
    <w:name w:val="1CStyle68"/>
    <w:basedOn w:val="Normal"/>
    <w:pPr>
      <w:jc w:val="right"/>
      <w:rPr>
        <w:rFonts w:ascii="Arial" w:hAnsi="Arial"/>
        <w:sz w:val="16"/>
      </w:rPr>
    </w:pPr>
  </w:style>
  <w:style w:type="paragraph" w:styleId="1CStyle60">
    <w:name w:val="1CStyle60"/>
    <w:basedOn w:val="Normal"/>
    <w:pPr>
      <w:jc w:val="right"/>
      <w:rPr>
        <w:rFonts w:ascii="Arial" w:hAnsi="Arial"/>
        <w:sz w:val="16"/>
      </w:rPr>
    </w:pPr>
  </w:style>
  <w:style w:type="paragraph" w:styleId="1CStyle97">
    <w:name w:val="1CStyle97"/>
    <w:basedOn w:val="Normal"/>
    <w:pPr>
      <w:jc w:val="right"/>
      <w:rPr>
        <w:rFonts w:ascii="Arial" w:hAnsi="Arial"/>
        <w:sz w:val="16"/>
      </w:rPr>
    </w:pPr>
  </w:style>
  <w:style w:type="paragraph" w:styleId="1CStyle90">
    <w:name w:val="1CStyle90"/>
    <w:basedOn w:val="Normal"/>
    <w:pPr>
      <w:jc w:val="right"/>
      <w:rPr>
        <w:rFonts w:ascii="Arial" w:hAnsi="Arial"/>
        <w:sz w:val="16"/>
      </w:rPr>
    </w:pPr>
  </w:style>
  <w:style w:type="paragraph" w:styleId="1CStyle106">
    <w:name w:val="1CStyle106"/>
    <w:basedOn w:val="Normal"/>
    <w:pPr>
      <w:jc w:val="right"/>
      <w:rPr>
        <w:rFonts w:ascii="Arial" w:hAnsi="Arial"/>
        <w:sz w:val="16"/>
      </w:rPr>
    </w:pPr>
  </w:style>
  <w:style w:type="paragraph" w:styleId="1CStyle44">
    <w:name w:val="1CStyle44"/>
    <w:basedOn w:val="Normal"/>
    <w:pPr>
      <w:jc w:val="right"/>
      <w:rPr>
        <w:rFonts w:ascii="Arial" w:hAnsi="Arial"/>
        <w:sz w:val="16"/>
      </w:rPr>
    </w:pPr>
  </w:style>
  <w:style w:type="paragraph" w:styleId="1CStyle123">
    <w:name w:val="1CStyle123"/>
    <w:basedOn w:val="Normal"/>
    <w:pPr>
      <w:jc w:val="right"/>
      <w:rPr>
        <w:rFonts w:ascii="Arial" w:hAnsi="Arial"/>
        <w:sz w:val="16"/>
      </w:rPr>
    </w:pPr>
  </w:style>
  <w:style w:type="paragraph" w:styleId="1CStyle130">
    <w:name w:val="1CStyle130"/>
    <w:basedOn w:val="Normal"/>
    <w:pPr>
      <w:jc w:val="right"/>
      <w:rPr>
        <w:rFonts w:ascii="Arial" w:hAnsi="Arial"/>
        <w:sz w:val="16"/>
      </w:rPr>
    </w:pPr>
  </w:style>
  <w:style w:type="paragraph" w:styleId="1CStyle126">
    <w:name w:val="1CStyle126"/>
    <w:basedOn w:val="Normal"/>
    <w:pPr>
      <w:jc w:val="right"/>
      <w:rPr>
        <w:rFonts w:ascii="Arial" w:hAnsi="Arial"/>
        <w:sz w:val="16"/>
      </w:rPr>
    </w:pPr>
  </w:style>
  <w:style w:type="paragraph" w:styleId="1CStyle48">
    <w:name w:val="1CStyle48"/>
    <w:basedOn w:val="Normal"/>
    <w:pPr>
      <w:jc w:val="right"/>
      <w:rPr>
        <w:rFonts w:ascii="Arial" w:hAnsi="Arial"/>
        <w:sz w:val="16"/>
      </w:rPr>
    </w:pPr>
  </w:style>
  <w:style w:type="paragraph" w:styleId="1CStyle65">
    <w:name w:val="1CStyle65"/>
    <w:basedOn w:val="Normal"/>
    <w:pPr>
      <w:jc w:val="right"/>
      <w:rPr>
        <w:rFonts w:ascii="Arial" w:hAnsi="Arial"/>
        <w:sz w:val="16"/>
      </w:rPr>
    </w:pPr>
  </w:style>
  <w:style w:type="paragraph" w:styleId="1CStyle57">
    <w:name w:val="1CStyle57"/>
    <w:basedOn w:val="Normal"/>
    <w:pPr>
      <w:jc w:val="right"/>
      <w:rPr>
        <w:rFonts w:ascii="Arial" w:hAnsi="Arial"/>
        <w:sz w:val="16"/>
      </w:rPr>
    </w:pPr>
  </w:style>
  <w:style w:type="paragraph" w:styleId="1CStyle119">
    <w:name w:val="1CStyle119"/>
    <w:basedOn w:val="Normal"/>
    <w:pPr>
      <w:jc w:val="right"/>
      <w:rPr>
        <w:rFonts w:ascii="Arial" w:hAnsi="Arial"/>
        <w:sz w:val="16"/>
      </w:rPr>
    </w:pPr>
  </w:style>
  <w:style w:type="paragraph" w:styleId="1CStyle129">
    <w:name w:val="1CStyle129"/>
    <w:basedOn w:val="Normal"/>
    <w:pPr>
      <w:jc w:val="right"/>
      <w:rPr>
        <w:rFonts w:ascii="Arial" w:hAnsi="Arial"/>
        <w:sz w:val="16"/>
      </w:rPr>
    </w:pPr>
  </w:style>
  <w:style w:type="paragraph" w:styleId="1CStyle125">
    <w:name w:val="1CStyle125"/>
    <w:basedOn w:val="Normal"/>
    <w:pPr>
      <w:jc w:val="right"/>
      <w:rPr>
        <w:rFonts w:ascii="Arial" w:hAnsi="Arial"/>
        <w:sz w:val="16"/>
      </w:rPr>
    </w:pPr>
  </w:style>
  <w:style w:type="paragraph" w:styleId="1CStyle49">
    <w:name w:val="1CStyle49"/>
    <w:basedOn w:val="Normal"/>
    <w:pPr>
      <w:jc w:val="right"/>
      <w:rPr>
        <w:rFonts w:ascii="Arial" w:hAnsi="Arial"/>
        <w:sz w:val="16"/>
      </w:rPr>
    </w:pPr>
  </w:style>
  <w:style w:type="paragraph" w:styleId="1CStyle66">
    <w:name w:val="1CStyle66"/>
    <w:basedOn w:val="Normal"/>
    <w:pPr>
      <w:jc w:val="right"/>
      <w:rPr>
        <w:rFonts w:ascii="Arial" w:hAnsi="Arial"/>
        <w:sz w:val="16"/>
      </w:rPr>
    </w:pPr>
  </w:style>
  <w:style w:type="paragraph" w:styleId="1CStyle58">
    <w:name w:val="1CStyle58"/>
    <w:basedOn w:val="Normal"/>
    <w:pPr>
      <w:jc w:val="right"/>
      <w:rPr>
        <w:rFonts w:ascii="Arial" w:hAnsi="Arial"/>
        <w:sz w:val="16"/>
      </w:rPr>
    </w:pPr>
  </w:style>
  <w:style w:type="paragraph" w:styleId="1CStyle131">
    <w:name w:val="1CStyle131"/>
    <w:basedOn w:val="Normal"/>
    <w:pPr>
      <w:jc w:val="right"/>
      <w:rPr>
        <w:rFonts w:ascii="Arial" w:hAnsi="Arial"/>
        <w:sz w:val="16"/>
      </w:rPr>
    </w:pPr>
  </w:style>
  <w:style w:type="paragraph" w:styleId="1CStyle128">
    <w:name w:val="1CStyle128"/>
    <w:basedOn w:val="Normal"/>
    <w:pPr>
      <w:jc w:val="right"/>
      <w:rPr>
        <w:rFonts w:ascii="Arial" w:hAnsi="Arial"/>
        <w:sz w:val="16"/>
      </w:rPr>
    </w:pPr>
  </w:style>
  <w:style w:type="paragraph" w:styleId="1CStyle124">
    <w:name w:val="1CStyle124"/>
    <w:basedOn w:val="Normal"/>
    <w:pPr>
      <w:jc w:val="right"/>
      <w:rPr>
        <w:rFonts w:ascii="Arial" w:hAnsi="Arial"/>
        <w:sz w:val="16"/>
      </w:rPr>
    </w:pPr>
  </w:style>
  <w:style w:type="paragraph" w:styleId="1CStyle122">
    <w:name w:val="1CStyle122"/>
    <w:basedOn w:val="Normal"/>
    <w:pPr>
      <w:jc w:val="center"/>
      <w:rPr>
        <w:rFonts w:ascii="Arial" w:hAnsi="Arial"/>
        <w:sz w:val="16"/>
      </w:rPr>
    </w:pPr>
  </w:style>
  <w:style w:type="paragraph" w:styleId="1CStyle114">
    <w:name w:val="1CStyle114"/>
    <w:basedOn w:val="Normal"/>
    <w:pPr>
      <w:jc w:val="center"/>
      <w:rPr>
        <w:rFonts w:ascii="Arial" w:hAnsi="Arial"/>
        <w:sz w:val="16"/>
      </w:rPr>
    </w:pPr>
  </w:style>
  <w:style w:type="paragraph" w:styleId="1CStyle165">
    <w:name w:val="1CStyle16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ind w:left="20"/>
      <w:jc w:val="right"/>
      <w:rPr/>
    </w:pPr>
  </w:style>
  <w:style w:type="paragraph" w:styleId="1CStyle107">
    <w:name w:val="1CStyle107"/>
    <w:basedOn w:val="Normal"/>
    <w:pPr>
      <w:wordWrap w:val="1"/>
      <w:ind w:left="80"/>
      <w:jc w:val="center"/>
      <w:rPr>
        <w:rFonts w:ascii="Arial" w:hAnsi="Arial"/>
        <w:sz w:val="16"/>
      </w:rPr>
    </w:pPr>
  </w:style>
  <w:style w:type="paragraph" w:styleId="1CStyle2">
    <w:name w:val="1CStyle2"/>
    <w:basedOn w:val="Normal"/>
    <w:pPr>
      <w:ind w:left="20"/>
      <w:jc w:val="right"/>
      <w:rPr/>
    </w:pPr>
  </w:style>
  <w:style w:type="paragraph" w:styleId="1CStyle91">
    <w:name w:val="1CStyle91"/>
    <w:basedOn w:val="Normal"/>
    <w:pPr>
      <w:wordWrap w:val="1"/>
      <w:ind w:left="20"/>
      <w:jc w:val="center"/>
      <w:rPr>
        <w:rFonts w:ascii="Arial" w:hAnsi="Arial"/>
        <w:sz w:val="16"/>
      </w:rPr>
    </w:pPr>
  </w:style>
  <w:style w:type="paragraph" w:styleId="1CStyle52">
    <w:name w:val="1CStyle52"/>
    <w:basedOn w:val="Normal"/>
    <w:pPr>
      <w:wordWrap w:val="1"/>
      <w:ind w:left="40"/>
      <w:jc w:val="center"/>
      <w:rPr>
        <w:rFonts w:ascii="Arial" w:hAnsi="Arial"/>
        <w:sz w:val="16"/>
      </w:rPr>
    </w:pPr>
  </w:style>
  <w:style w:type="paragraph" w:styleId="1CStyle134">
    <w:name w:val="1CStyle134"/>
    <w:basedOn w:val="Normal"/>
    <w:pPr>
      <w:wordWrap w:val="1"/>
      <w:ind w:left="40"/>
      <w:jc w:val="center"/>
      <w:rPr>
        <w:rFonts w:ascii="Arial" w:hAnsi="Arial"/>
        <w:sz w:val="16"/>
      </w:rPr>
    </w:pPr>
  </w:style>
  <w:style w:type="paragraph" w:styleId="1CStyle45">
    <w:name w:val="1CStyle45"/>
    <w:basedOn w:val="Normal"/>
    <w:pPr>
      <w:wordWrap w:val="1"/>
      <w:ind w:left="20"/>
      <w:jc w:val="center"/>
      <w:rPr>
        <w:rFonts w:ascii="Arial" w:hAnsi="Arial"/>
        <w:i/>
        <w:sz w:val="16"/>
      </w:rPr>
    </w:pPr>
  </w:style>
  <w:style w:type="paragraph" w:styleId="1CStyle92">
    <w:name w:val="1CStyle92"/>
    <w:basedOn w:val="Normal"/>
    <w:pPr>
      <w:wordWrap w:val="1"/>
      <w:ind w:left="20"/>
      <w:jc w:val="center"/>
      <w:rPr>
        <w:rFonts w:ascii="Arial" w:hAnsi="Arial"/>
        <w:i/>
        <w:sz w:val="16"/>
      </w:rPr>
    </w:pPr>
  </w:style>
  <w:style w:type="paragraph" w:styleId="1CStyle62">
    <w:name w:val="1CStyle62"/>
    <w:basedOn w:val="Normal"/>
    <w:pPr>
      <w:wordWrap w:val="1"/>
      <w:ind w:left="40"/>
      <w:jc w:val="center"/>
      <w:rPr>
        <w:rFonts w:ascii="Arial" w:hAnsi="Arial"/>
        <w:sz w:val="16"/>
      </w:rPr>
    </w:pPr>
  </w:style>
  <w:style w:type="paragraph" w:styleId="1CStyle54">
    <w:name w:val="1CStyle54"/>
    <w:basedOn w:val="Normal"/>
    <w:pPr>
      <w:wordWrap w:val="1"/>
      <w:ind w:left="40"/>
      <w:jc w:val="center"/>
      <w:rPr>
        <w:rFonts w:ascii="Arial" w:hAnsi="Arial"/>
        <w:sz w:val="16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